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Default Extension="jpg" ContentType="image/jpeg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Heading2"/>
        <w:rPr>
          <w:color w:val="000000"/>
        </w:rPr>
      </w:pPr>
      <w:r>
        <w:rPr>
          <w:color w:val="000000"/>
        </w:rPr>
        <w:t xml:space="preserve">New Business Manager</w:t>
      </w:r>
    </w:p>
    <w:p>
      <w:pPr/>
      <w:r>
        <w:t xml:space="preserve">Poniższy wzór możesz dopasować do modelu sprzedaży, branży i rzeczywistego zakresu stanowiska.</w:t>
      </w:r>
    </w:p>
    <w:tbl>
      <w:tblPr>
        <w:tblW w:w="5000" w:type="pct"/>
        <w:tblCellMar>
          <w:top w:w="180" w:type="dxa"/>
          <w:left w:w="240" w:type="dxa"/>
          <w:bottom w:w="180" w:type="dxa"/>
          <w:right w:w="240" w:type="dxa"/>
        </w:tblCellMar>
        <w:tblBorders>
          <w:top w:val="single" w:sz="4" w:space="0" w:color="D4F3F8"/>
          <w:left w:val="single" w:sz="4" w:space="0" w:color="D4F3F8"/>
          <w:bottom w:val="single" w:sz="4" w:space="0" w:color="D4F3F8"/>
          <w:right w:val="single" w:sz="4" w:space="0" w:color="D4F3F8"/>
          <w:insideH w:val="none"/>
          <w:insideV w:val="none"/>
        </w:tblBorders>
      </w:tblPr>
      <w:tr>
        <w:tc>
          <w:tcPr>
            <w:tcW w:w="5000" w:type="pct"/>
            <w:shd w:val="clear" w:color="auto" w:fill="F0FBFD"/>
            <w:tcMar>
              <w:top w:w="180" w:type="dxa"/>
              <w:left w:w="240" w:type="dxa"/>
              <w:bottom w:w="180" w:type="dxa"/>
              <w:right w:w="240" w:type="dxa"/>
            </w:tcMar>
            <w:tcBorders>
              <w:top w:val="single" w:sz="4" w:space="0" w:color="D4F3F8"/>
              <w:left w:val="single" w:sz="4" w:space="0" w:color="D4F3F8"/>
              <w:bottom w:val="single" w:sz="4" w:space="0" w:color="D4F3F8"/>
              <w:right w:val="single" w:sz="4" w:space="0" w:color="D4F3F8"/>
            </w:tcBorders>
          </w:tcPr>
          <w:p>
            <w:pPr>
              <w:pStyle w:val="Heading3"/>
              <w:rPr>
                <w:color w:val="000000"/>
              </w:rPr>
            </w:pPr>
            <w:r>
              <w:rPr>
                <w:color w:val="000000"/>
              </w:rPr>
              <w:t xml:space="preserve">O roli</w:t>
            </w:r>
          </w:p>
          <w:p>
            <w:pPr/>
            <w:r>
              <w:t xml:space="preserve">Szukamy New Business Managera, który będzie odpowiadać za pozyskiwanie nowych klientów w [segment / branża / rynek]. Twoim głównym celem będzie [np. przychód z nowej sprzedaży / liczba nowych klientów / wartość podpisanych kontraktów]. Proces przejmiesz na etapie [pierwszego kontaktu / zakwalifikowanego klienta / inny moment] i poprowadzisz go do [podpisania umowy / przekazania klienta dalej / innego etapu].</w:t>
            </w:r>
          </w:p>
        </w:tc>
      </w:tr>
    </w:tbl>
    <w:p>
      <w:pPr>
        <w:spacing w:before="0" w:after="160"/>
      </w:pPr>
    </w:p>
    <w:p>
      <w:pPr>
        <w:pStyle w:val="Heading3"/>
        <w:rPr>
          <w:color w:val="000000"/>
        </w:rPr>
      </w:pPr>
      <w:r>
        <w:rPr>
          <w:color w:val="000000"/>
        </w:rPr>
        <w:t xml:space="preserve">Skąd będą pochodzić kontakty?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 Pracujemy w modelu [outbound / inbound / mieszanym].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Kontakty pochodzą z [marketingu / formularzy / poleceń / wydarzeń / SDR lub BDR / innych źródeł]. Po Twojej stronie będzie również [samodzielny prospecting / rozwijanie części pipeline'u / kwalifikacja otrzymanych kontaktów]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Docieramy przede wszystkim do [typ firm / segment / profil klienta].</w:t>
      </w:r>
    </w:p>
    <w:p>
      <w:pPr>
        <w:pStyle w:val="Heading3"/>
        <w:rPr>
          <w:color w:val="000000"/>
        </w:rPr>
      </w:pPr>
      <w:r>
        <w:rPr>
          <w:color w:val="000000"/>
        </w:rPr>
        <w:t xml:space="preserve">Za co będziesz odpowiadać?</w:t>
      </w:r>
    </w:p>
    <w:p>
      <w:pPr/>
      <w:r>
        <w:t xml:space="preserve">Twój zakres będzie obejmować: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[prospecting i rozpoczęcie kontaktu],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[kwalifikację potencjalnych klientów],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[prowadzenie rozmów sprzedażowych],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[przygotowanie ofert],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[negocjacje],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[finalizację sprzedaży].</w:t>
      </w:r>
    </w:p>
    <w:p>
      <w:pPr/>
      <w:r>
        <w:t xml:space="preserve">W bardziej złożonych procesach będziesz współpracować z [produktem / działem technicznym / finansami / działem prawnym / innymi zespołami]. Po zakończeniu sprzedaży klient [trafia do Account Managera / Customer Success Managera / zespołu wdrożeniowego / pozostaje przez określony czas po Twojej stronie].</w:t>
      </w:r>
    </w:p>
    <w:p>
      <w:pPr>
        <w:pStyle w:val="Heading3"/>
        <w:rPr>
          <w:color w:val="000000"/>
        </w:rPr>
      </w:pPr>
      <w:r>
        <w:rPr>
          <w:color w:val="000000"/>
        </w:rPr>
        <w:t xml:space="preserve">Jak będziemy mierzyć Twój wynik?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Głównym miernikiem będzie [przychód od nowych klientów / wartość nowych kontraktów / liczba pozyskanych klientów / inny rezultat].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Cel na [miesiąc / kwartał / rok] wynosi [wartość].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Dodatkowo analizujemy [wartość pipeline'u / konwersję między etapami / prognozę sprzedaży / inne stosowane mierniki].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Część zmienna wynagrodzenia zależy od [jasne zasady premii lub prowizji].</w:t>
      </w:r>
    </w:p>
    <w:p>
      <w:pPr>
        <w:pStyle w:val="Heading3"/>
        <w:rPr>
          <w:color w:val="000000"/>
        </w:rPr>
      </w:pPr>
      <w:r>
        <w:rPr>
          <w:color w:val="000000"/>
        </w:rPr>
        <w:t xml:space="preserve">Jakiego doświadczenia szukamy?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Szukamy osoby, która ma doświadczenie w pozyskiwaniu nowych klientów [B2B / SaaS / usługi / konkretna branża].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Ważne będzie doświadczenie w [samodzielnym prospectingu / prowadzeniu pełnego procesu sprzedaży / negocjacjach / finalizacji kontraktów].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Dodatkowym atutem będzie znajomość [branży / produktu / rynku / języka / systemu].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Szczególnie interesuje nas doświadczenie w pracy z [typ klienta / skala transakcji / długość cyklu sprzedaży / poziom osób decyzyjnych].</w:t>
      </w:r>
    </w:p>
    <w:p>
      <w:pPr>
        <w:pStyle w:val="Heading3"/>
        <w:rPr>
          <w:color w:val="000000"/>
        </w:rPr>
      </w:pPr>
      <w:r>
        <w:rPr>
          <w:color w:val="000000"/>
        </w:rPr>
        <w:t xml:space="preserve">Jak pracujemy?</w:t>
      </w:r>
    </w:p>
    <w:p>
      <w:pPr/>
      <w:r>
        <w:t xml:space="preserve">Na co dzień korzystamy z [nazwa CRM] oraz [rzeczywiście używane narzędzia do prospectingu lub komunikacji]. Najważniejsze jest dla nas nie samo doświadczenie z konkretnym programem, ale umiejętność prowadzenia własnego pipeline'u, aktualizowania danych i planowania kolejnych działań sprzedażowych.</w:t>
      </w:r>
    </w:p>
    <w:p>
      <w:pPr>
        <w:pStyle w:val="Heading3"/>
        <w:rPr>
          <w:color w:val="000000"/>
        </w:rPr>
      </w:pPr>
      <w:r>
        <w:rPr>
          <w:color w:val="000000"/>
        </w:rPr>
        <w:t xml:space="preserve">Pierwsze miesiące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Na początku poznasz [produkt, klientów, proces sprzedaży, źródła kontaktów i sposób pracy zespołu].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W pierwszych [30 / 60 / 90 dniach] oczekujemy [konkretny rezultat możliwy do osiągnięcia w tym czasie].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Może to być np. uruchomienie pierwszych rozmów z potencjalnymi klientami, zbudowanie pierwszego zakwalifikowanego pipeline'u albo przeprowadzenie pierwszych procesów sprzedażowych.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Zapewnimy [zakres wdrożenia, szkolenia i wsparcia].</w:t>
      </w:r>
    </w:p>
    <w:p>
      <w:pPr>
        <w:pStyle w:val="Heading3"/>
        <w:rPr>
          <w:color w:val="000000"/>
        </w:rPr>
      </w:pPr>
      <w:r>
        <w:rPr>
          <w:color w:val="000000"/>
        </w:rPr>
        <w:t xml:space="preserve">Warunki współpracy</w:t>
      </w:r>
    </w:p>
    <w:tbl>
      <w:tblPr>
        <w:tblW w:w="5000" w:type="pct"/>
        <w:tblBorders>
          <w:top w:val="single" w:sz="6" w:space="0" w:color="CBD5E1"/>
          <w:left w:val="single" w:sz="6" w:space="0" w:color="CBD5E1"/>
          <w:bottom w:val="single" w:sz="6" w:space="0" w:color="CBD5E1"/>
          <w:right w:val="single" w:sz="6" w:space="0" w:color="CBD5E1"/>
          <w:insideH w:val="single" w:sz="4" w:space="0" w:color="E2E8F0"/>
          <w:insideV w:val="none"/>
        </w:tblBorders>
        <w:tblCellMar>
          <w:top w:w="120" w:type="dxa"/>
          <w:bottom w:w="120" w:type="dxa"/>
          <w:left w:w="160" w:type="dxa"/>
          <w:right w:w="160" w:type="dxa"/>
        </w:tblCellMar>
      </w:tblPr>
      <w:tr>
        <w:trPr>
          <w:tblHeader/>
          <w:cantSplit/>
        </w:trPr>
        <w:tc>
          <w:tcPr>
            <w:tcW w:w="0" w:type="auto"/>
            <w:shd w:val="clear" w:color="auto" w:fill="28B9CD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b/>
                <w:color w:val="FFFFFF"/>
                <w:sz w:val="19"/>
              </w:rPr>
              <w:t xml:space="preserve">Element</w:t>
            </w:r>
          </w:p>
        </w:tc>
        <w:tc>
          <w:tcPr>
            <w:tcW w:w="0" w:type="auto"/>
            <w:shd w:val="clear" w:color="auto" w:fill="28B9CD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b/>
                <w:color w:val="FFFFFF"/>
                <w:sz w:val="19"/>
              </w:rPr>
              <w:t xml:space="preserve">Warunki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Forma współpracy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[UoP / B2B / inna]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Wynagrodzenie podstawowe</w:t>
            </w:r>
          </w:p>
        </w:tc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[przedział]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Część zmienna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[premia / prowizja / zasady]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Model pracy</w:t>
            </w:r>
          </w:p>
        </w:tc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[stacjonarny / hybrydowy / zdalny]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Lokalizacja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[miejsce]</w:t>
            </w:r>
          </w:p>
        </w:tc>
      </w:tr>
      <w:tr>
        <w:trPr>
          <w:cantSplit/>
        </w:trPr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Przełożony</w:t>
            </w:r>
          </w:p>
        </w:tc>
        <w:tc>
          <w:tcPr>
            <w:tcW w:w="0" w:type="auto"/>
            <w:shd w:val="clear" w:color="auto" w:fill="F0F4F8"/>
            <w:tcMar>
              <w:top w:w="120" w:type="dxa"/>
              <w:bottom w:w="120" w:type="dxa"/>
              <w:left w:w="160" w:type="dxa"/>
              <w:right w:w="160" w:type="dxa"/>
            </w:tcMar>
          </w:tcPr>
          <w:p>
            <w:r>
              <w:rPr>
                <w:color w:val="111314"/>
                <w:sz w:val="19"/>
              </w:rPr>
              <w:t xml:space="preserve">[stanowisko]</w:t>
            </w:r>
          </w:p>
        </w:tc>
      </w:tr>
    </w:tbl>
    <w:p>
      <w:pPr>
        <w:spacing w:before="0" w:after="160"/>
      </w:pPr>
    </w:p>
    <w:p>
      <w:pPr>
        <w:pStyle w:val="Heading3"/>
        <w:rPr>
          <w:color w:val="000000"/>
        </w:rPr>
      </w:pPr>
      <w:r>
        <w:rPr>
          <w:color w:val="000000"/>
        </w:rPr>
        <w:t xml:space="preserve">Jak wygląda rekrutacja?</w:t>
      </w:r>
    </w:p>
    <w:p>
      <w:pPr/>
      <w:r>
        <w:t xml:space="preserve">Proces obejmuje [liczba] etapów.</w:t>
      </w:r>
    </w:p>
    <w:p>
      <w:pPr/>
      <w:r>
        <w:t xml:space="preserve">Podczas rozmowy będziemy chcieli lepiej zrozumieć: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skąd pochodziły Twoje wcześniejsze kontakty sprzedażowe,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za które etapy odpowiadałeś lub odpowiadałaś,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jak wyglądał Twój typowy proces sprzedaży,</w:t>
      </w:r>
    </w:p>
    <w:p>
      <w:pPr>
        <w:numPr>
          <w:ilvl w:val="0"/>
          <w:numId w:val="1"/>
        </w:numPr>
        <w:spacing w:before="60" w:after="60" w:line="276" w:lineRule="auto"/>
      </w:pPr>
      <w:r>
        <w:t xml:space="preserve">jaki wynik udało Ci się osiągnąć.</w:t>
      </w:r>
    </w:p>
    <w:p>
      <w:pPr/>
      <w:r>
        <w:t xml:space="preserve">Na jednym z etapów możemy wykorzystać krótki case dotyczący pozyskiwania nowych klientów. Otrzymasz wszystkie informacje potrzebne do wykonania zadania. Po zakończeniu procesu przekażemy informację zwrotną w ciągu [liczba] dni roboczych.</w:t>
      </w:r>
    </w:p>
    <w:sectPr>
      <w:headerReference w:type="default" r:id="rIdHeader"/>
      <w:footerReference w:type="default" r:id="rIdFooter"/>
      <w:pgSz w:w="11906" w:h="16838"/>
      <w:pgMar w:top="1440" w:right="1440" w:bottom="1440" w:left="1440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sz="4" w:space="8" w:color="DFE4F2"/>
      </w:pBdr>
      <w:tabs>
        <w:tab w:val="right" w:pos="9026"/>
      </w:tabs>
    </w:pPr>
    <w:r>
      <w:rPr>
        <w:rFonts w:ascii="Segoe UI" w:hAnsi="Segoe UI"/>
        <w:sz w:val="17"/>
        <w:color w:val="64748B"/>
      </w:rPr>
      <w:t>AI Power Recruiter • aipowerrecruiter.com • kontakt@aipowerrecruiter.com</w:t>
    </w:r>
    <w:r>
      <w:tab/>
    </w:r>
    <w:r>
      <w:rPr>
        <w:rFonts w:ascii="Segoe UI" w:hAnsi="Segoe UI"/>
        <w:sz w:val="17"/>
        <w:color w:val="64748B"/>
      </w:rPr>
      <w:t xml:space="preserve">Strona </w:t>
    </w:r>
    <w:fldSimple w:instr="PAGE"/>
    <w:r>
      <w:rPr>
        <w:rFonts w:ascii="Segoe UI" w:hAnsi="Segoe UI"/>
        <w:sz w:val="17"/>
        <w:color w:val="64748B"/>
      </w:rPr>
      <w:t xml:space="preserve"> z </w:t>
    </w:r>
    <w:fldSimple w:instr="NUMPAGES"/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jc w:val="right"/>
    </w:pPr>
    <w:r>
      <w:drawing>
        <wp:inline distT="0" distB="0" distL="0" distR="0">
          <wp:extent cx="1066800" cy="304038"/>
          <wp:docPr id="900" name="Header Logo"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0" name="logo-aipr.png"/>
                  <pic:cNvPicPr/>
                </pic:nvPicPr>
                <pic:blipFill>
                  <a:blip r:embed="rIdHeaderLogo"/>
                  <a:stretch>
                    <a:fillRect/>
                  </a:stretch>
                </pic:blipFill>
                <pic:spPr>
                  <a:xfrm>
                    <a:off x="0" y="0"/>
                    <a:ext cx="1066800" cy="3040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  <w:lvlJc w:val="left"/>
      <w:pPr>
        <w:ind w:left="540" w:hanging="280"/>
      </w:pPr>
      <w:rPr>
        <w:rFonts w:ascii="Segoe UI" w:hAnsi="Segoe UI"/>
        <w:b/>
        <w:color w:val="28B9CD"/>
      </w:rPr>
    </w:lvl>
    <w:lvl w:ilvl="1">
      <w:start w:val="1"/>
      <w:numFmt w:val="bullet"/>
      <w:lvlText w:val="•"/>
      <w:lvlJc w:val="left"/>
      <w:pPr>
        <w:ind w:left="1080" w:hanging="280"/>
      </w:pPr>
      <w:rPr>
        <w:rFonts w:ascii="Segoe UI" w:hAnsi="Segoe UI"/>
        <w:b/>
        <w:color w:val="28B9CD"/>
      </w:rPr>
    </w:lvl>
    <w:lvl w:ilvl="2">
      <w:start w:val="1"/>
      <w:numFmt w:val="bullet"/>
      <w:lvlText w:val="•"/>
      <w:lvlJc w:val="left"/>
      <w:pPr>
        <w:ind w:left="1620" w:hanging="280"/>
      </w:pPr>
      <w:rPr>
        <w:rFonts w:ascii="Segoe UI" w:hAnsi="Segoe UI"/>
        <w:b/>
        <w:color w:val="28B9CD"/>
      </w:rPr>
    </w:lvl>
    <w:lvl w:ilvl="3">
      <w:start w:val="1"/>
      <w:numFmt w:val="bullet"/>
      <w:lvlText w:val="•"/>
      <w:lvlJc w:val="left"/>
      <w:pPr>
        <w:ind w:left="2160" w:hanging="280"/>
      </w:pPr>
      <w:rPr>
        <w:rFonts w:ascii="Segoe UI" w:hAnsi="Segoe UI"/>
        <w:b/>
        <w:color w:val="28B9CD"/>
      </w:rPr>
    </w:lvl>
    <w:lvl w:ilvl="4">
      <w:start w:val="1"/>
      <w:numFmt w:val="bullet"/>
      <w:lvlText w:val="•"/>
      <w:lvlJc w:val="left"/>
      <w:pPr>
        <w:ind w:left="2700" w:hanging="280"/>
      </w:pPr>
      <w:rPr>
        <w:rFonts w:ascii="Segoe UI" w:hAnsi="Segoe UI"/>
        <w:b/>
        <w:color w:val="28B9CD"/>
      </w:rPr>
    </w:lvl>
    <w:lvl w:ilvl="5">
      <w:start w:val="1"/>
      <w:numFmt w:val="bullet"/>
      <w:lvlText w:val="•"/>
      <w:lvlJc w:val="left"/>
      <w:pPr>
        <w:ind w:left="3240" w:hanging="280"/>
      </w:pPr>
      <w:rPr>
        <w:rFonts w:ascii="Segoe UI" w:hAnsi="Segoe UI"/>
        <w:b/>
        <w:color w:val="28B9CD"/>
      </w:rPr>
    </w:lvl>
    <w:lvl w:ilvl="6">
      <w:start w:val="1"/>
      <w:numFmt w:val="bullet"/>
      <w:lvlText w:val="•"/>
      <w:lvlJc w:val="left"/>
      <w:pPr>
        <w:ind w:left="3780" w:hanging="280"/>
      </w:pPr>
      <w:rPr>
        <w:rFonts w:ascii="Segoe UI" w:hAnsi="Segoe UI"/>
        <w:b/>
        <w:color w:val="28B9CD"/>
      </w:rPr>
    </w:lvl>
    <w:lvl w:ilvl="7">
      <w:start w:val="1"/>
      <w:numFmt w:val="bullet"/>
      <w:lvlText w:val="•"/>
      <w:lvlJc w:val="left"/>
      <w:pPr>
        <w:ind w:left="4320" w:hanging="280"/>
      </w:pPr>
      <w:rPr>
        <w:rFonts w:ascii="Segoe UI" w:hAnsi="Segoe UI"/>
        <w:b/>
        <w:color w:val="28B9CD"/>
      </w:rPr>
    </w:lvl>
    <w:lvl w:ilvl="8">
      <w:start w:val="1"/>
      <w:numFmt w:val="bullet"/>
      <w:lvlText w:val="•"/>
      <w:lvlJc w:val="left"/>
      <w:pPr>
        <w:ind w:left="4860" w:hanging="280"/>
      </w:pPr>
      <w:rPr>
        <w:rFonts w:ascii="Segoe UI" w:hAnsi="Segoe UI"/>
        <w:b/>
        <w:color w:val="28B9CD"/>
      </w:rPr>
    </w:lvl>
  </w:abstractNum>
  <w:abstractNum w:abstractNumId="1">
    <w:lvl w:ilvl="0">
      <w:start w:val="1"/>
      <w:numFmt w:val="decimal"/>
      <w:lvlText w:val="%1."/>
      <w:lvlJc w:val="left"/>
      <w:pPr>
        <w:ind w:left="540" w:hanging="280"/>
      </w:pPr>
      <w:rPr>
        <w:rFonts w:ascii="Segoe UI" w:hAnsi="Segoe UI"/>
        <w:b/>
        <w:color w:val="28B9CD"/>
      </w:rPr>
    </w:lvl>
    <w:lvl w:ilvl="1">
      <w:start w:val="1"/>
      <w:numFmt w:val="decimal"/>
      <w:lvlText w:val="%2."/>
      <w:lvlJc w:val="left"/>
      <w:pPr>
        <w:ind w:left="1080" w:hanging="280"/>
      </w:pPr>
      <w:rPr>
        <w:rFonts w:ascii="Segoe UI" w:hAnsi="Segoe UI"/>
        <w:b/>
        <w:color w:val="28B9CD"/>
      </w:rPr>
    </w:lvl>
    <w:lvl w:ilvl="2">
      <w:start w:val="1"/>
      <w:numFmt w:val="decimal"/>
      <w:lvlText w:val="%3."/>
      <w:lvlJc w:val="left"/>
      <w:pPr>
        <w:ind w:left="1620" w:hanging="280"/>
      </w:pPr>
      <w:rPr>
        <w:rFonts w:ascii="Segoe UI" w:hAnsi="Segoe UI"/>
        <w:b/>
        <w:color w:val="28B9CD"/>
      </w:rPr>
    </w:lvl>
    <w:lvl w:ilvl="3">
      <w:start w:val="1"/>
      <w:numFmt w:val="decimal"/>
      <w:lvlText w:val="%4."/>
      <w:lvlJc w:val="left"/>
      <w:pPr>
        <w:ind w:left="2160" w:hanging="280"/>
      </w:pPr>
      <w:rPr>
        <w:rFonts w:ascii="Segoe UI" w:hAnsi="Segoe UI"/>
        <w:b/>
        <w:color w:val="28B9CD"/>
      </w:rPr>
    </w:lvl>
    <w:lvl w:ilvl="4">
      <w:start w:val="1"/>
      <w:numFmt w:val="decimal"/>
      <w:lvlText w:val="%5."/>
      <w:lvlJc w:val="left"/>
      <w:pPr>
        <w:ind w:left="2700" w:hanging="280"/>
      </w:pPr>
      <w:rPr>
        <w:rFonts w:ascii="Segoe UI" w:hAnsi="Segoe UI"/>
        <w:b/>
        <w:color w:val="28B9CD"/>
      </w:rPr>
    </w:lvl>
    <w:lvl w:ilvl="5">
      <w:start w:val="1"/>
      <w:numFmt w:val="decimal"/>
      <w:lvlText w:val="%6."/>
      <w:lvlJc w:val="left"/>
      <w:pPr>
        <w:ind w:left="3240" w:hanging="280"/>
      </w:pPr>
      <w:rPr>
        <w:rFonts w:ascii="Segoe UI" w:hAnsi="Segoe UI"/>
        <w:b/>
        <w:color w:val="28B9CD"/>
      </w:rPr>
    </w:lvl>
    <w:lvl w:ilvl="6">
      <w:start w:val="1"/>
      <w:numFmt w:val="decimal"/>
      <w:lvlText w:val="%7."/>
      <w:lvlJc w:val="left"/>
      <w:pPr>
        <w:ind w:left="3780" w:hanging="280"/>
      </w:pPr>
      <w:rPr>
        <w:rFonts w:ascii="Segoe UI" w:hAnsi="Segoe UI"/>
        <w:b/>
        <w:color w:val="28B9CD"/>
      </w:rPr>
    </w:lvl>
    <w:lvl w:ilvl="7">
      <w:start w:val="1"/>
      <w:numFmt w:val="decimal"/>
      <w:lvlText w:val="%8."/>
      <w:lvlJc w:val="left"/>
      <w:pPr>
        <w:ind w:left="4320" w:hanging="280"/>
      </w:pPr>
      <w:rPr>
        <w:rFonts w:ascii="Segoe UI" w:hAnsi="Segoe UI"/>
        <w:b/>
        <w:color w:val="28B9CD"/>
      </w:rPr>
    </w:lvl>
    <w:lvl w:ilvl="8">
      <w:start w:val="1"/>
      <w:numFmt w:val="decimal"/>
      <w:lvlText w:val="%9."/>
      <w:lvlJc w:val="left"/>
      <w:pPr>
        <w:ind w:left="4860" w:hanging="280"/>
      </w:pPr>
      <w:rPr>
        <w:rFonts w:ascii="Segoe UI" w:hAnsi="Segoe UI"/>
        <w:b/>
        <w:color w:val="28B9CD"/>
      </w:r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sz w:val="22"/>
        <w:rFonts w:ascii="Segoe UI" w:hAnsi="Segoe UI" w:cs="Segoe UI"/>
      </w:rPr>
    </w:rPrDefault>
  </w:docDefaults>
  <w:style w:type="paragraph" w:default="1" w:styleId="Normal">
    <w:name w:val="Normal"/>
    <w:rPr>
      <w:color w:val="111314"/>
    </w:rPr>
  </w:style>
  <w:style w:type="paragraph" w:styleId="Heading1">
    <w:name w:val="heading 1"/>
    <w:basedOn w:val="Normal"/>
    <w:pPr>
      <w:keepNext/>
      <w:spacing w:before="280" w:after="120"/>
      <w:outlineLvl w:val="0"/>
    </w:pPr>
    <w:rPr>
      <w:b/>
      <w:color w:val="000000"/>
      <w:sz w:val="44"/>
    </w:rPr>
  </w:style>
  <w:style w:type="paragraph" w:styleId="Heading2">
    <w:name w:val="heading 2"/>
    <w:basedOn w:val="Normal"/>
    <w:pPr>
      <w:keepNext/>
      <w:spacing w:before="280" w:after="120"/>
      <w:outlineLvl w:val="1"/>
    </w:pPr>
    <w:rPr>
      <w:b/>
      <w:color w:val="000000"/>
      <w:sz w:val="32"/>
    </w:rPr>
  </w:style>
  <w:style w:type="paragraph" w:styleId="Heading3">
    <w:name w:val="heading 3"/>
    <w:basedOn w:val="Normal"/>
    <w:pPr>
      <w:keepNext/>
      <w:spacing w:before="280" w:after="120"/>
      <w:outlineLvl w:val="2"/>
    </w:pPr>
    <w:rPr>
      <w:b/>
      <w:color w:val="000000"/>
      <w:sz w:val="26"/>
    </w:rPr>
  </w:style>
  <w:style w:type="paragraph" w:styleId="Heading4">
    <w:name w:val="heading 4"/>
    <w:basedOn w:val="Normal"/>
    <w:pPr>
      <w:keepNext/>
      <w:spacing w:before="280" w:after="120"/>
      <w:outlineLvl w:val="3"/>
    </w:pPr>
    <w:rPr>
      <w:b/>
      <w:color w:val="000000"/>
      <w:sz w:val="22"/>
    </w:rPr>
  </w:style>
  <w:style w:type="paragraph" w:styleId="Heading5">
    <w:name w:val="heading 5"/>
    <w:basedOn w:val="Normal"/>
    <w:pPr>
      <w:keepNext/>
      <w:spacing w:before="280" w:after="120"/>
      <w:outlineLvl w:val="4"/>
    </w:pPr>
    <w:rPr>
      <w:b/>
      <w:color w:val="000000"/>
      <w:sz w:val="20"/>
    </w:rPr>
  </w:style>
  <w:style w:type="paragraph" w:styleId="Heading6">
    <w:name w:val="heading 6"/>
    <w:basedOn w:val="Normal"/>
    <w:pPr>
      <w:keepNext/>
      <w:spacing w:before="280" w:after="120"/>
      <w:outlineLvl w:val="5"/>
    </w:pPr>
    <w:rPr>
      <w:b/>
      <w:color w:val="000000"/>
      <w:sz w:val="18"/>
    </w:rPr>
  </w:style>
  <w:style w:type="character" w:styleId="Hyperlink">
    <w:name w:val="Hyperlink"/>
    <w:rPr>
      <w:color w:val="28B9CD"/>
      <w:u w:val="single"/>
    </w:rPr>
  </w:style>
  <w:style w:type="paragraph" w:styleId="Quote">
    <w:name w:val="Quote"/>
    <w:basedOn w:val="Normal"/>
    <w:pPr>
      <w:pBdr>
        <w:left w:val="single" w:sz="24" w:space="12" w:color="28B9CD"/>
      </w:pBdr>
      <w:ind w:left="400"/>
      <w:shd w:val="clear" w:color="auto" w:fill="F0FDFA"/>
    </w:pPr>
    <w:rPr>
      <w:i/>
      <w:color w:val="111314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Header" Type="http://schemas.openxmlformats.org/officeDocument/2006/relationships/header" Target="header1.xml"/><Relationship Id="rIdFooter" Type="http://schemas.openxmlformats.org/officeDocument/2006/relationships/footer" Target="footer1.xml"/></Relationships>
</file>

<file path=word/_rels/header1.xml.rels><?xml version="1.0" encoding="UTF-8" standalone="yes"?><Relationships xmlns="http://schemas.openxmlformats.org/package/2006/relationships"><Relationship Id="rIdHeaderLogo" Type="http://schemas.openxmlformats.org/officeDocument/2006/relationships/image" Target="media/logo-aipr.png"/></Relationships>
</file>