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Heading2"/>
        <w:rPr>
          <w:color w:val="000000"/>
        </w:rPr>
      </w:pPr>
      <w:r>
        <w:rPr>
          <w:color w:val="000000"/>
        </w:rPr>
        <w:t xml:space="preserve">Checklista HR: AI Policy w rekrutacji</w:t>
      </w:r>
    </w:p>
    <w:tbl>
      <w:tblPr>
        <w:tblW w:w="5000" w:type="pct"/>
        <w:tblCellMar>
          <w:top w:w="180" w:type="dxa"/>
          <w:left w:w="240" w:type="dxa"/>
          <w:bottom w:w="180" w:type="dxa"/>
          <w:right w:w="240" w:type="dxa"/>
        </w:tblCellMar>
        <w:tblBorders>
          <w:top w:val="single" w:sz="4" w:space="0" w:color="D4F3F8"/>
          <w:left w:val="single" w:sz="4" w:space="0" w:color="D4F3F8"/>
          <w:bottom w:val="single" w:sz="4" w:space="0" w:color="D4F3F8"/>
          <w:right w:val="single" w:sz="4" w:space="0" w:color="D4F3F8"/>
          <w:insideH w:val="none"/>
          <w:insideV w:val="none"/>
        </w:tblBorders>
      </w:tblPr>
      <w:tr>
        <w:tc>
          <w:tcPr>
            <w:tcW w:w="5000" w:type="pct"/>
            <w:shd w:val="clear" w:color="auto" w:fill="F0FBFD"/>
            <w:tcMar>
              <w:top w:w="180" w:type="dxa"/>
              <w:left w:w="240" w:type="dxa"/>
              <w:bottom w:w="180" w:type="dxa"/>
              <w:right w:w="240" w:type="dxa"/>
            </w:tcMar>
            <w:tcBorders>
              <w:top w:val="single" w:sz="4" w:space="0" w:color="D4F3F8"/>
              <w:left w:val="single" w:sz="4" w:space="0" w:color="D4F3F8"/>
              <w:bottom w:val="single" w:sz="4" w:space="0" w:color="D4F3F8"/>
              <w:right w:val="single" w:sz="4" w:space="0" w:color="D4F3F8"/>
            </w:tcBorders>
          </w:tcPr>
          <w:p>
            <w:pPr>
              <w:pStyle w:val="Heading3"/>
              <w:rPr>
                <w:color w:val="000000"/>
              </w:rPr>
            </w:pPr>
            <w:r>
              <w:rPr>
                <w:color w:val="000000"/>
              </w:rPr>
              <w:t xml:space="preserve">Czy zasady korzystania z AI przez kandydatów są gotowe do wdrożenia?</w:t>
            </w:r>
          </w:p>
          <w:p>
            <w:pPr/>
            <w:r>
              <w:t xml:space="preserve">Kandydaci mogą korzystać z narzędzi generatywnych na różnych etapach rekrutacji. </w:t>
            </w:r>
          </w:p>
          <w:p>
            <w:pPr/>
            <w:r>
              <w:t xml:space="preserve">Innego podejścia wymaga korekta CV, innego wykonanie zadania, a jeszcze innego korzystanie z podpowiedzi podczas rozmowy.</w:t>
            </w:r>
          </w:p>
          <w:p>
            <w:pPr/>
            <w:r>
              <w:t xml:space="preserve">Ta checklista pomaga sprawdzić, czy zasady są </w:t>
            </w:r>
            <w:r>
              <w:rPr>
                <w:b/>
              </w:rPr>
              <w:t xml:space="preserve">jasne, spójne i dopasowane do tego, co firma rzeczywiście chce ocenić</w:t>
            </w:r>
            <w:r>
              <w:t xml:space="preserve">.</w:t>
            </w:r>
          </w:p>
        </w:tc>
      </w:tr>
    </w:tbl>
    <w:p>
      <w:pPr>
        <w:spacing w:before="0" w:after="160"/>
      </w:pPr>
    </w:p>
    <w:p>
      <w:pPr>
        <w:pStyle w:val="Heading3"/>
        <w:rPr>
          <w:color w:val="000000"/>
        </w:rPr>
      </w:pPr>
      <w:r>
        <w:rPr>
          <w:color w:val="000000"/>
        </w:rPr>
        <w:t xml:space="preserve">1. Cel każdego etapu rekrutacji</w:t>
      </w:r>
    </w:p>
    <w:p>
      <w:pPr/>
      <w:r>
        <w:t xml:space="preserve">Zanim określisz, czy kandydat może korzystać z AI, ustal, co dokładnie ma zostać sprawdzone.</w:t>
      </w:r>
    </w:p>
    <w:tbl>
      <w:tblPr>
        <w:tblW w:w="5000" w:type="pct"/>
        <w:tblBorders>
          <w:top w:val="single" w:sz="6" w:space="0" w:color="CBD5E1"/>
          <w:left w:val="single" w:sz="6" w:space="0" w:color="CBD5E1"/>
          <w:bottom w:val="single" w:sz="6" w:space="0" w:color="CBD5E1"/>
          <w:right w:val="single" w:sz="6" w:space="0" w:color="CBD5E1"/>
          <w:insideH w:val="single" w:sz="4" w:space="0" w:color="E2E8F0"/>
          <w:insideV w:val="none"/>
        </w:tblBorders>
        <w:tblCellMar>
          <w:top w:w="120" w:type="dxa"/>
          <w:bottom w:w="120" w:type="dxa"/>
          <w:left w:w="160" w:type="dxa"/>
          <w:right w:w="160" w:type="dxa"/>
        </w:tblCellMar>
      </w:tblPr>
      <w:tr>
        <w:trPr>
          <w:tblHeader/>
          <w:cantSplit/>
        </w:trPr>
        <w:tc>
          <w:tcPr>
            <w:tcW w:w="0" w:type="auto"/>
            <w:shd w:val="clear" w:color="auto" w:fill="28B9CD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FFFFFF"/>
                <w:sz w:val="19"/>
              </w:rPr>
              <w:t xml:space="preserve">Do sprawdzenia</w:t>
            </w:r>
          </w:p>
        </w:tc>
        <w:tc>
          <w:tcPr>
            <w:tcW w:w="0" w:type="auto"/>
            <w:shd w:val="clear" w:color="auto" w:fill="28B9CD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FFFFFF"/>
                <w:sz w:val="19"/>
              </w:rPr>
              <w:t xml:space="preserve">Tak</w:t>
            </w:r>
          </w:p>
        </w:tc>
        <w:tc>
          <w:tcPr>
            <w:tcW w:w="0" w:type="auto"/>
            <w:shd w:val="clear" w:color="auto" w:fill="28B9CD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FFFFFF"/>
                <w:sz w:val="19"/>
              </w:rPr>
              <w:t xml:space="preserve">Nie</w:t>
            </w:r>
          </w:p>
        </w:tc>
        <w:tc>
          <w:tcPr>
            <w:tcW w:w="0" w:type="auto"/>
            <w:shd w:val="clear" w:color="auto" w:fill="28B9CD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FFFFFF"/>
                <w:sz w:val="19"/>
              </w:rPr>
              <w:t xml:space="preserve">Do ustalenia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Czy wiemy, jaką kompetencję sprawdza każdy etap rekrutacji?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☐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☐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☐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Czy określiliśmy, które czynności kandydat powinien wykonać samodzielnie?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☐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☐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☐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Czy wiemy, na których etapach korzystanie z AI może być częścią ocenianej kompetencji?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☐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☐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☐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Czy potrafimy uzasadnić, dlaczego na danym etapie AI jest dozwolona, ograniczona lub niedozwolona?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☐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☐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☐</w:t>
            </w:r>
          </w:p>
        </w:tc>
      </w:tr>
    </w:tbl>
    <w:p>
      <w:pPr>
        <w:spacing w:before="0" w:after="160"/>
      </w:pPr>
    </w:p>
    <w:p>
      <w:pPr>
        <w:pStyle w:val="Heading3"/>
        <w:rPr>
          <w:color w:val="000000"/>
        </w:rPr>
      </w:pPr>
      <w:r>
        <w:rPr>
          <w:color w:val="000000"/>
        </w:rPr>
        <w:t xml:space="preserve">Co wynika z tej części?</w:t>
      </w:r>
    </w:p>
    <w:p>
      <w:pPr/>
      <w:r>
        <w:t xml:space="preserve">Jeżeli przy którymś z pytań zaznaczasz </w:t>
      </w:r>
      <w:r>
        <w:rPr>
          <w:b/>
        </w:rPr>
        <w:t xml:space="preserve">„Do ustalenia”</w:t>
      </w:r>
      <w:r>
        <w:t xml:space="preserve">, najpierw doprecyzuj cel danego etapu rekrutacji. Dopiero wtedy można sensownie zdecydować, czy korzystanie z AI powinno być dozwolone, ograniczone czy wyłączone.</w:t>
      </w:r>
    </w:p>
    <w:p>
      <w:pPr/>
      <w:r>
        <w:rPr>
          <w:b/>
        </w:rPr>
        <w:t xml:space="preserve">Najpierw ustal, co chcesz ocenić. Potem określ zasady korzystania z narzędzi.</w:t>
      </w:r>
    </w:p>
    <w:p>
      <w:pPr>
        <w:pStyle w:val="Heading3"/>
        <w:rPr>
          <w:color w:val="000000"/>
        </w:rPr>
      </w:pPr>
      <w:r>
        <w:rPr>
          <w:color w:val="000000"/>
        </w:rPr>
        <w:t xml:space="preserve">2. Zasady dla poszczególnych etapów</w:t>
      </w:r>
    </w:p>
    <w:p>
      <w:pPr/>
      <w:r>
        <w:t xml:space="preserve">Reguły nie muszą być jednakowe w całym procesie.</w:t>
      </w:r>
    </w:p>
    <w:tbl>
      <w:tblPr>
        <w:tblW w:w="5000" w:type="pct"/>
        <w:tblBorders>
          <w:top w:val="single" w:sz="6" w:space="0" w:color="CBD5E1"/>
          <w:left w:val="single" w:sz="6" w:space="0" w:color="CBD5E1"/>
          <w:bottom w:val="single" w:sz="6" w:space="0" w:color="CBD5E1"/>
          <w:right w:val="single" w:sz="6" w:space="0" w:color="CBD5E1"/>
          <w:insideH w:val="single" w:sz="4" w:space="0" w:color="E2E8F0"/>
          <w:insideV w:val="none"/>
        </w:tblBorders>
        <w:tblCellMar>
          <w:top w:w="120" w:type="dxa"/>
          <w:bottom w:w="120" w:type="dxa"/>
          <w:left w:w="160" w:type="dxa"/>
          <w:right w:w="160" w:type="dxa"/>
        </w:tblCellMar>
      </w:tblPr>
      <w:tr>
        <w:trPr>
          <w:tblHeader/>
          <w:cantSplit/>
        </w:trPr>
        <w:tc>
          <w:tcPr>
            <w:tcW w:w="0" w:type="auto"/>
            <w:shd w:val="clear" w:color="auto" w:fill="28B9CD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FFFFFF"/>
                <w:sz w:val="19"/>
              </w:rPr>
              <w:t xml:space="preserve">Etap</w:t>
            </w:r>
          </w:p>
        </w:tc>
        <w:tc>
          <w:tcPr>
            <w:tcW w:w="0" w:type="auto"/>
            <w:shd w:val="clear" w:color="auto" w:fill="28B9CD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FFFFFF"/>
                <w:sz w:val="19"/>
              </w:rPr>
              <w:t xml:space="preserve">Co trzeba ustalić?</w:t>
            </w:r>
          </w:p>
        </w:tc>
        <w:tc>
          <w:tcPr>
            <w:tcW w:w="0" w:type="auto"/>
            <w:shd w:val="clear" w:color="auto" w:fill="28B9CD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FFFFFF"/>
                <w:sz w:val="19"/>
              </w:rPr>
              <w:t xml:space="preserve">Gotowe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CV i formularz aplikacyjny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Czy narzędzia mogą pomagać w redakcji i porządkowaniu treści?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☐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Przygotowanie do rozmowy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Czy kandydat może korzystać z AI przed spotkaniem?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☐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Zadanie rekrutacyjne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Czy AI jest dozwolona, dozwolona po ujawnieniu czy wyłączona?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☐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Test / live case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Czy można korzystać z internetu, dokumentacji, notatek i innych źródeł?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☐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Rozmowa rekrutacyjna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Czy są części spotkania, podczas których kandydat powinien odpowiadać bez generowanych podpowiedzi?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☐</w:t>
            </w:r>
          </w:p>
        </w:tc>
      </w:tr>
    </w:tbl>
    <w:p>
      <w:pPr>
        <w:spacing w:before="0" w:after="160"/>
      </w:pPr>
    </w:p>
    <w:p>
      <w:pPr>
        <w:pStyle w:val="Heading3"/>
        <w:rPr>
          <w:color w:val="000000"/>
        </w:rPr>
      </w:pPr>
      <w:r>
        <w:rPr>
          <w:color w:val="000000"/>
        </w:rPr>
        <w:t xml:space="preserve">3. Ujawnianie wykorzystania AI</w:t>
      </w:r>
    </w:p>
    <w:p>
      <w:pPr/>
      <w:r>
        <w:t xml:space="preserve">Nie zawsze potrzebna jest informacja o samym fakcie użycia narzędzia. Znaczenie ma przede wszystkim sytuacja, w której technologia współtworzy rezultat podlegający ocenie.</w:t>
      </w:r>
    </w:p>
    <w:tbl>
      <w:tblPr>
        <w:tblW w:w="5000" w:type="pct"/>
        <w:tblBorders>
          <w:top w:val="single" w:sz="6" w:space="0" w:color="CBD5E1"/>
          <w:left w:val="single" w:sz="6" w:space="0" w:color="CBD5E1"/>
          <w:bottom w:val="single" w:sz="6" w:space="0" w:color="CBD5E1"/>
          <w:right w:val="single" w:sz="6" w:space="0" w:color="CBD5E1"/>
          <w:insideH w:val="single" w:sz="4" w:space="0" w:color="E2E8F0"/>
          <w:insideV w:val="none"/>
        </w:tblBorders>
        <w:tblCellMar>
          <w:top w:w="120" w:type="dxa"/>
          <w:bottom w:w="120" w:type="dxa"/>
          <w:left w:w="160" w:type="dxa"/>
          <w:right w:w="160" w:type="dxa"/>
        </w:tblCellMar>
      </w:tblPr>
      <w:tr>
        <w:trPr>
          <w:tblHeader/>
          <w:cantSplit/>
        </w:trPr>
        <w:tc>
          <w:tcPr>
            <w:tcW w:w="0" w:type="auto"/>
            <w:shd w:val="clear" w:color="auto" w:fill="28B9CD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FFFFFF"/>
                <w:sz w:val="19"/>
              </w:rPr>
              <w:t xml:space="preserve">Pytanie</w:t>
            </w:r>
          </w:p>
        </w:tc>
        <w:tc>
          <w:tcPr>
            <w:tcW w:w="0" w:type="auto"/>
            <w:shd w:val="clear" w:color="auto" w:fill="28B9CD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FFFFFF"/>
                <w:sz w:val="19"/>
              </w:rPr>
              <w:t xml:space="preserve">Tak</w:t>
            </w:r>
          </w:p>
        </w:tc>
        <w:tc>
          <w:tcPr>
            <w:tcW w:w="0" w:type="auto"/>
            <w:shd w:val="clear" w:color="auto" w:fill="28B9CD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FFFFFF"/>
                <w:sz w:val="19"/>
              </w:rPr>
              <w:t xml:space="preserve">Nie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Czy określiliśmy, kiedy kandydat powinien poinformować o wykorzystaniu AI?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☐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☐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Czy wiadomo, jaki zakres informacji powinien przekazać?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☐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☐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Czy pytamy o sposób wykorzystania narzędzia, a nie tylko „czy użyto AI”?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☐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☐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Czy zakres wymaganych informacji jest rzeczywiście potrzebny do oceny?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☐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☐</w:t>
            </w:r>
          </w:p>
        </w:tc>
      </w:tr>
    </w:tbl>
    <w:p>
      <w:pPr>
        <w:spacing w:before="0" w:after="160"/>
      </w:pPr>
    </w:p>
    <w:p>
      <w:pPr/>
      <w:r>
        <w:t xml:space="preserve">Jeżeli wymagane jest ujawnienie sposobu pracy, kandydat może wskazać:</w:t>
      </w:r>
    </w:p>
    <w:p>
      <w:pPr/>
      <w:r>
        <w:rPr>
          <w:b/>
        </w:rPr>
        <w:t xml:space="preserve">do czego wykorzystał narzędzie → na jakim etapie → jaki był zakres pomocy → co przygotował lub zweryfikował samodzielnie.</w:t>
      </w:r>
    </w:p>
    <w:p>
      <w:pPr>
        <w:pStyle w:val="Heading3"/>
        <w:rPr>
          <w:color w:val="000000"/>
        </w:rPr>
      </w:pPr>
      <w:r>
        <w:rPr>
          <w:color w:val="000000"/>
        </w:rPr>
        <w:t xml:space="preserve">4. Dane i informacje poufne</w:t>
      </w:r>
    </w:p>
    <w:p>
      <w:pPr/>
      <w:r>
        <w:t xml:space="preserve">Zasady powinny również odpowiadać na pytanie, </w:t>
      </w:r>
      <w:r>
        <w:rPr>
          <w:b/>
        </w:rPr>
        <w:t xml:space="preserve">co kandydat może zrobić z materiałami otrzymanymi od firmy</w:t>
      </w:r>
      <w:r>
        <w:t xml:space="preserve">.</w:t>
      </w:r>
    </w:p>
    <w:tbl>
      <w:tblPr>
        <w:tblW w:w="5000" w:type="pct"/>
        <w:tblBorders>
          <w:top w:val="single" w:sz="6" w:space="0" w:color="CBD5E1"/>
          <w:left w:val="single" w:sz="6" w:space="0" w:color="CBD5E1"/>
          <w:bottom w:val="single" w:sz="6" w:space="0" w:color="CBD5E1"/>
          <w:right w:val="single" w:sz="6" w:space="0" w:color="CBD5E1"/>
          <w:insideH w:val="single" w:sz="4" w:space="0" w:color="E2E8F0"/>
          <w:insideV w:val="none"/>
        </w:tblBorders>
        <w:tblCellMar>
          <w:top w:w="120" w:type="dxa"/>
          <w:bottom w:w="120" w:type="dxa"/>
          <w:left w:w="160" w:type="dxa"/>
          <w:right w:w="160" w:type="dxa"/>
        </w:tblCellMar>
      </w:tblPr>
      <w:tr>
        <w:trPr>
          <w:tblHeader/>
          <w:cantSplit/>
        </w:trPr>
        <w:tc>
          <w:tcPr>
            <w:tcW w:w="0" w:type="auto"/>
            <w:shd w:val="clear" w:color="auto" w:fill="28B9CD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FFFFFF"/>
                <w:sz w:val="19"/>
              </w:rPr>
              <w:t xml:space="preserve">Do sprawdzenia</w:t>
            </w:r>
          </w:p>
        </w:tc>
        <w:tc>
          <w:tcPr>
            <w:tcW w:w="0" w:type="auto"/>
            <w:shd w:val="clear" w:color="auto" w:fill="28B9CD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FFFFFF"/>
                <w:sz w:val="19"/>
              </w:rPr>
              <w:t xml:space="preserve">Tak</w:t>
            </w:r>
          </w:p>
        </w:tc>
        <w:tc>
          <w:tcPr>
            <w:tcW w:w="0" w:type="auto"/>
            <w:shd w:val="clear" w:color="auto" w:fill="28B9CD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FFFFFF"/>
                <w:sz w:val="19"/>
              </w:rPr>
              <w:t xml:space="preserve">Nie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Czy określiliśmy zasady dotyczące danych osobowych?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☐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☐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Czy kandydat wie, jak postępować z informacjami poufnymi?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☐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☐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Czy wiadomo, czy materiały z zadania można wprowadzać do zewnętrznych narzędzi?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☐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☐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Czy wskazaliśmy zatwierdzone rozwiązania, jeżeli dopuszczamy ich użycie?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☐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☐</w:t>
            </w:r>
          </w:p>
        </w:tc>
      </w:tr>
    </w:tbl>
    <w:p>
      <w:pPr>
        <w:spacing w:before="0" w:after="160"/>
      </w:pPr>
    </w:p>
    <w:p>
      <w:pPr>
        <w:pStyle w:val="Heading3"/>
        <w:rPr>
          <w:color w:val="000000"/>
        </w:rPr>
      </w:pPr>
      <w:r>
        <w:rPr>
          <w:color w:val="000000"/>
        </w:rPr>
        <w:t xml:space="preserve">5. Komunikacja z kandydatem</w:t>
      </w:r>
    </w:p>
    <w:p>
      <w:pPr/>
      <w:r>
        <w:t xml:space="preserve">Zasady są użyteczne tylko wtedy, gdy kandydat poznaje je </w:t>
      </w:r>
      <w:r>
        <w:rPr>
          <w:b/>
        </w:rPr>
        <w:t xml:space="preserve">przed rozpoczęciem ocenianego etapu</w:t>
      </w:r>
      <w:r>
        <w:t xml:space="preserve">.</w:t>
      </w:r>
    </w:p>
    <w:tbl>
      <w:tblPr>
        <w:tblW w:w="5000" w:type="pct"/>
        <w:tblBorders>
          <w:top w:val="single" w:sz="6" w:space="0" w:color="CBD5E1"/>
          <w:left w:val="single" w:sz="6" w:space="0" w:color="CBD5E1"/>
          <w:bottom w:val="single" w:sz="6" w:space="0" w:color="CBD5E1"/>
          <w:right w:val="single" w:sz="6" w:space="0" w:color="CBD5E1"/>
          <w:insideH w:val="single" w:sz="4" w:space="0" w:color="E2E8F0"/>
          <w:insideV w:val="none"/>
        </w:tblBorders>
        <w:tblCellMar>
          <w:top w:w="120" w:type="dxa"/>
          <w:bottom w:w="120" w:type="dxa"/>
          <w:left w:w="160" w:type="dxa"/>
          <w:right w:w="160" w:type="dxa"/>
        </w:tblCellMar>
      </w:tblPr>
      <w:tr>
        <w:trPr>
          <w:tblHeader/>
          <w:cantSplit/>
        </w:trPr>
        <w:tc>
          <w:tcPr>
            <w:tcW w:w="0" w:type="auto"/>
            <w:shd w:val="clear" w:color="auto" w:fill="28B9CD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FFFFFF"/>
                <w:sz w:val="19"/>
              </w:rPr>
              <w:t xml:space="preserve">Do sprawdzenia</w:t>
            </w:r>
          </w:p>
        </w:tc>
        <w:tc>
          <w:tcPr>
            <w:tcW w:w="0" w:type="auto"/>
            <w:shd w:val="clear" w:color="auto" w:fill="28B9CD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FFFFFF"/>
                <w:sz w:val="19"/>
              </w:rPr>
              <w:t xml:space="preserve">Tak</w:t>
            </w:r>
          </w:p>
        </w:tc>
        <w:tc>
          <w:tcPr>
            <w:tcW w:w="0" w:type="auto"/>
            <w:shd w:val="clear" w:color="auto" w:fill="28B9CD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FFFFFF"/>
                <w:sz w:val="19"/>
              </w:rPr>
              <w:t xml:space="preserve">Nie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Czy reguły są przekazywane przed zadaniem, testem lub rozmową?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☐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☐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Czy są napisane prostym i jednoznacznym językiem?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☐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☐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Czy kandydat wie, co oznacza „samodzielne wykonanie”?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☐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☐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Czy może zapytać o dopuszczalne narzędzia przed rozpoczęciem pracy?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☐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☐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Czy rekruter i hiring manager stosują te same zasady?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☐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☐</w:t>
            </w:r>
          </w:p>
        </w:tc>
      </w:tr>
    </w:tbl>
    <w:p>
      <w:pPr>
        <w:spacing w:before="0" w:after="160"/>
      </w:pPr>
    </w:p>
    <w:p>
      <w:pPr/>
      <w:r>
        <w:rPr>
          <w:b/>
        </w:rPr>
        <w:t xml:space="preserve">Najważniejsze jest to, aby kandydat nie musiał domyślać się zasad. Powinien wiedzieć wcześniej, z czego może korzystać, czego nie może robić i do kogo zwrócić się w razie wątpliwości.</w:t>
      </w:r>
    </w:p>
    <w:p>
      <w:pPr>
        <w:pStyle w:val="Heading3"/>
        <w:rPr>
          <w:color w:val="000000"/>
        </w:rPr>
      </w:pPr>
      <w:r>
        <w:rPr>
          <w:color w:val="000000"/>
        </w:rPr>
        <w:t xml:space="preserve">6. Dostępność procesu</w:t>
      </w:r>
    </w:p>
    <w:p>
      <w:pPr/>
      <w:r>
        <w:t xml:space="preserve">Technologia może być wykorzystywana nie tylko do generowania odpowiedzi, ale również do wspierania komunikacji lub dostępności.</w:t>
      </w:r>
    </w:p>
    <w:tbl>
      <w:tblPr>
        <w:tblW w:w="5000" w:type="pct"/>
        <w:tblBorders>
          <w:top w:val="single" w:sz="6" w:space="0" w:color="CBD5E1"/>
          <w:left w:val="single" w:sz="6" w:space="0" w:color="CBD5E1"/>
          <w:bottom w:val="single" w:sz="6" w:space="0" w:color="CBD5E1"/>
          <w:right w:val="single" w:sz="6" w:space="0" w:color="CBD5E1"/>
          <w:insideH w:val="single" w:sz="4" w:space="0" w:color="E2E8F0"/>
          <w:insideV w:val="none"/>
        </w:tblBorders>
        <w:tblCellMar>
          <w:top w:w="120" w:type="dxa"/>
          <w:bottom w:w="120" w:type="dxa"/>
          <w:left w:w="160" w:type="dxa"/>
          <w:right w:w="160" w:type="dxa"/>
        </w:tblCellMar>
      </w:tblPr>
      <w:tr>
        <w:trPr>
          <w:tblHeader/>
          <w:cantSplit/>
        </w:trPr>
        <w:tc>
          <w:tcPr>
            <w:tcW w:w="0" w:type="auto"/>
            <w:shd w:val="clear" w:color="auto" w:fill="28B9CD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FFFFFF"/>
                <w:sz w:val="19"/>
              </w:rPr>
              <w:t xml:space="preserve">Do sprawdzenia</w:t>
            </w:r>
          </w:p>
        </w:tc>
        <w:tc>
          <w:tcPr>
            <w:tcW w:w="0" w:type="auto"/>
            <w:shd w:val="clear" w:color="auto" w:fill="28B9CD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FFFFFF"/>
                <w:sz w:val="19"/>
              </w:rPr>
              <w:t xml:space="preserve">Tak</w:t>
            </w:r>
          </w:p>
        </w:tc>
        <w:tc>
          <w:tcPr>
            <w:tcW w:w="0" w:type="auto"/>
            <w:shd w:val="clear" w:color="auto" w:fill="28B9CD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FFFFFF"/>
                <w:sz w:val="19"/>
              </w:rPr>
              <w:t xml:space="preserve">Nie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Czy kandydat może wcześniej zgłosić potrzebę dostosowania procesu?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☐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☐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Czy wiemy, kto podejmuje decyzję w takiej sytuacji?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☐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☐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Czy polityka nie traktuje automatycznie każdego użycia technologii jako niedozwolonego wsparcia?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☐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☐</w:t>
            </w:r>
          </w:p>
        </w:tc>
      </w:tr>
    </w:tbl>
    <w:p>
      <w:pPr>
        <w:spacing w:before="0" w:after="160"/>
      </w:pPr>
    </w:p>
    <w:p>
      <w:pPr>
        <w:pStyle w:val="Heading3"/>
        <w:rPr>
          <w:color w:val="000000"/>
        </w:rPr>
      </w:pPr>
      <w:r>
        <w:rPr>
          <w:color w:val="000000"/>
        </w:rPr>
        <w:t xml:space="preserve">7. Postępowanie w przypadku wątpliwości</w:t>
      </w:r>
    </w:p>
    <w:p>
      <w:pPr/>
      <w:r>
        <w:t xml:space="preserve">Warto ustalić procedurę, zanim pojawi się pierwszy sporny przypadek.</w:t>
      </w:r>
    </w:p>
    <w:tbl>
      <w:tblPr>
        <w:tblW w:w="5000" w:type="pct"/>
        <w:tblBorders>
          <w:top w:val="single" w:sz="6" w:space="0" w:color="CBD5E1"/>
          <w:left w:val="single" w:sz="6" w:space="0" w:color="CBD5E1"/>
          <w:bottom w:val="single" w:sz="6" w:space="0" w:color="CBD5E1"/>
          <w:right w:val="single" w:sz="6" w:space="0" w:color="CBD5E1"/>
          <w:insideH w:val="single" w:sz="4" w:space="0" w:color="E2E8F0"/>
          <w:insideV w:val="none"/>
        </w:tblBorders>
        <w:tblCellMar>
          <w:top w:w="120" w:type="dxa"/>
          <w:bottom w:w="120" w:type="dxa"/>
          <w:left w:w="160" w:type="dxa"/>
          <w:right w:w="160" w:type="dxa"/>
        </w:tblCellMar>
      </w:tblPr>
      <w:tr>
        <w:trPr>
          <w:tblHeader/>
          <w:cantSplit/>
        </w:trPr>
        <w:tc>
          <w:tcPr>
            <w:tcW w:w="0" w:type="auto"/>
            <w:shd w:val="clear" w:color="auto" w:fill="28B9CD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FFFFFF"/>
                <w:sz w:val="19"/>
              </w:rPr>
              <w:t xml:space="preserve">Do sprawdzenia</w:t>
            </w:r>
          </w:p>
        </w:tc>
        <w:tc>
          <w:tcPr>
            <w:tcW w:w="0" w:type="auto"/>
            <w:shd w:val="clear" w:color="auto" w:fill="28B9CD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FFFFFF"/>
                <w:sz w:val="19"/>
              </w:rPr>
              <w:t xml:space="preserve">Tak</w:t>
            </w:r>
          </w:p>
        </w:tc>
        <w:tc>
          <w:tcPr>
            <w:tcW w:w="0" w:type="auto"/>
            <w:shd w:val="clear" w:color="auto" w:fill="28B9CD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FFFFFF"/>
                <w:sz w:val="19"/>
              </w:rPr>
              <w:t xml:space="preserve">Nie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Czy najpierw sprawdzamy, czy dana zasada została wcześniej zakomunikowana?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☐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☐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Czy kandydat może wyjaśnić sposób przygotowania odpowiedzi lub zadania?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☐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☐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Czy możemy ponownie sprawdzić kompetencję w jasno określonych warunkach?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☐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☐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Czy decyzja nie opiera się wyłącznie na wyniku detektora?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☐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☐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Czy sposób reakcji zależy od znaczenia konkretnego naruszenia?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☐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☐</w:t>
            </w:r>
          </w:p>
        </w:tc>
      </w:tr>
    </w:tbl>
    <w:p>
      <w:pPr>
        <w:spacing w:before="0" w:after="160"/>
      </w:pPr>
    </w:p>
    <w:p>
      <w:pPr>
        <w:numPr>
          <w:ilvl w:val="0"/>
          <w:numId w:val="1"/>
        </w:numPr>
        <w:spacing w:before="60" w:after="60" w:line="276" w:lineRule="auto"/>
      </w:pPr>
      <w:r>
        <w:t xml:space="preserve">Podejrzenie naruszenia nie powinno od razu przesądzać o decyzji.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Najpierw warto sprawdzić, czy zasada była wcześniej jasno zakomunikowana, umożliwić kandydatowi wyjaśnienie sytuacji i w razie potrzeby ponownie zweryfikować ocenianą kompetencję.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Dopiero na tej podstawie można ocenić, czy doszło do naruszenia i jakie powinny być jego konsekwencje.</w:t>
      </w:r>
    </w:p>
    <w:p>
      <w:pPr>
        <w:pStyle w:val="Heading3"/>
        <w:rPr>
          <w:color w:val="000000"/>
        </w:rPr>
      </w:pPr>
      <w:r>
        <w:rPr>
          <w:color w:val="000000"/>
        </w:rPr>
        <w:t xml:space="preserve">Szybki test gotowości</w:t>
      </w:r>
    </w:p>
    <w:p>
      <w:pPr/>
      <w:r>
        <w:t xml:space="preserve">Polityka jest gotowa do wdrożenia, jeśli potrafisz odpowiedzieć „tak” przede wszystkim na pięć pytań:</w:t>
      </w:r>
    </w:p>
    <w:p>
      <w:pPr>
        <w:numPr>
          <w:ilvl w:val="0"/>
          <w:numId w:val="2"/>
        </w:numPr>
        <w:spacing w:before="60" w:after="60" w:line="276" w:lineRule="auto"/>
      </w:pPr>
      <w:r>
        <w:t xml:space="preserve">Czy wiadomo, </w:t>
      </w:r>
      <w:r>
        <w:rPr>
          <w:b/>
        </w:rPr>
        <w:t xml:space="preserve">co oceniamy</w:t>
      </w:r>
      <w:r>
        <w:t xml:space="preserve"> na każdym etapie?</w:t>
      </w:r>
    </w:p>
    <w:p>
      <w:pPr>
        <w:numPr>
          <w:ilvl w:val="0"/>
          <w:numId w:val="2"/>
        </w:numPr>
        <w:spacing w:before="60" w:after="60" w:line="276" w:lineRule="auto"/>
      </w:pPr>
      <w:r>
        <w:t xml:space="preserve">Czy kandydat wie, </w:t>
      </w:r>
      <w:r>
        <w:rPr>
          <w:b/>
        </w:rPr>
        <w:t xml:space="preserve">kiedy może korzystać z AI</w:t>
      </w:r>
      <w:r>
        <w:t xml:space="preserve">?</w:t>
      </w:r>
    </w:p>
    <w:p>
      <w:pPr>
        <w:numPr>
          <w:ilvl w:val="0"/>
          <w:numId w:val="2"/>
        </w:numPr>
        <w:spacing w:before="60" w:after="60" w:line="276" w:lineRule="auto"/>
      </w:pPr>
      <w:r>
        <w:t xml:space="preserve">Czy wiadomo, </w:t>
      </w:r>
      <w:r>
        <w:rPr>
          <w:b/>
        </w:rPr>
        <w:t xml:space="preserve">kiedy powinien ujawnić zakres pomocy</w:t>
      </w:r>
      <w:r>
        <w:t xml:space="preserve">?</w:t>
      </w:r>
    </w:p>
    <w:p>
      <w:pPr>
        <w:numPr>
          <w:ilvl w:val="0"/>
          <w:numId w:val="2"/>
        </w:numPr>
        <w:spacing w:before="60" w:after="60" w:line="276" w:lineRule="auto"/>
      </w:pPr>
      <w:r>
        <w:t xml:space="preserve">Czy określono zasady dotyczące </w:t>
      </w:r>
      <w:r>
        <w:rPr>
          <w:b/>
        </w:rPr>
        <w:t xml:space="preserve">danych i materiałów poufnych</w:t>
      </w:r>
      <w:r>
        <w:t xml:space="preserve">?</w:t>
      </w:r>
    </w:p>
    <w:p>
      <w:pPr>
        <w:numPr>
          <w:ilvl w:val="0"/>
          <w:numId w:val="2"/>
        </w:numPr>
        <w:spacing w:before="60" w:after="60" w:line="276" w:lineRule="auto"/>
      </w:pPr>
      <w:r>
        <w:t xml:space="preserve">Czy firma wie, </w:t>
      </w:r>
      <w:r>
        <w:rPr>
          <w:b/>
        </w:rPr>
        <w:t xml:space="preserve">jak postąpić w przypadku potencjalnego naruszenia</w:t>
      </w:r>
      <w:r>
        <w:t xml:space="preserve">?</w:t>
      </w:r>
    </w:p>
    <w:p>
      <w:pPr/>
      <w:r>
        <w:t xml:space="preserve">Jeżeli przy którymś z tych punktów odpowiedź brzmi „nie” albo „to zależy”, warto doprecyzować politykę przed przekazaniem jej kandydatom.</w:t>
      </w:r>
    </w:p>
    <w:p>
      <w:pPr>
        <w:pStyle w:val="Heading3"/>
        <w:rPr>
          <w:color w:val="000000"/>
        </w:rPr>
      </w:pPr>
      <w:r>
        <w:rPr>
          <w:b/>
          <w:color w:val="000000"/>
        </w:rPr>
        <w:t xml:space="preserve">Osoba odpowiedzialna za politykę</w:t>
      </w:r>
      <w:r>
        <w:br/>
      </w:r>
    </w:p>
    <w:p>
      <w:pPr>
        <w:pBdr>
          <w:bottom w:val="single" w:sz="6" w:space="1" w:color="auto"/>
        </w:pBdr>
      </w:pPr>
    </w:p>
    <w:p>
      <w:pPr/>
      <w:r>
        <w:rPr>
          <w:b/>
        </w:rPr>
        <w:t xml:space="preserve">Procesy / stanowiska objęte zasadami</w:t>
      </w:r>
      <w:r>
        <w:br/>
      </w:r>
    </w:p>
    <w:p>
      <w:pPr>
        <w:pBdr>
          <w:bottom w:val="single" w:sz="6" w:space="1" w:color="auto"/>
        </w:pBdr>
      </w:pPr>
    </w:p>
    <w:p>
      <w:pPr/>
      <w:r>
        <w:rPr>
          <w:b/>
        </w:rPr>
        <w:t xml:space="preserve">Data ostatniej aktualizacji</w:t>
      </w:r>
      <w:r>
        <w:br/>
      </w:r>
    </w:p>
    <w:p>
      <w:pPr>
        <w:pBdr>
          <w:bottom w:val="single" w:sz="6" w:space="1" w:color="auto"/>
        </w:pBdr>
      </w:pPr>
    </w:p>
    <w:p>
      <w:pPr/>
      <w:r>
        <w:rPr>
          <w:b/>
        </w:rPr>
        <w:t xml:space="preserve">Termin kolejnego przeglądu</w:t>
      </w:r>
      <w:r>
        <w:br/>
      </w:r>
    </w:p>
    <w:p>
      <w:pPr>
        <w:pBdr>
          <w:bottom w:val="single" w:sz="6" w:space="1" w:color="auto"/>
        </w:pBdr>
      </w:pPr>
    </w:p>
    <w:p>
      <w:pPr>
        <w:pStyle w:val="Heading3"/>
        <w:rPr>
          <w:color w:val="000000"/>
        </w:rPr>
      </w:pPr>
      <w:r>
        <w:rPr>
          <w:color w:val="000000"/>
        </w:rPr>
        <w:t xml:space="preserve">Najważniejsze kwestie wymagające doprecyzowania</w:t>
      </w:r>
    </w:p>
    <w:p>
      <w:pPr/>
      <w:r>
        <w:t xml:space="preserve">Zapisz tematy, które wymagają dodatkowej decyzji przed wdrożeniem lub przy kolejnej aktualizacji polityki.</w:t>
      </w:r>
    </w:p>
    <w:tbl>
      <w:tblPr>
        <w:tblW w:w="5000" w:type="pct"/>
        <w:tblBorders>
          <w:top w:val="single" w:sz="6" w:space="0" w:color="CBD5E1"/>
          <w:left w:val="single" w:sz="6" w:space="0" w:color="CBD5E1"/>
          <w:bottom w:val="single" w:sz="6" w:space="0" w:color="CBD5E1"/>
          <w:right w:val="single" w:sz="6" w:space="0" w:color="CBD5E1"/>
          <w:insideH w:val="single" w:sz="4" w:space="0" w:color="E2E8F0"/>
          <w:insideV w:val="none"/>
        </w:tblBorders>
        <w:tblCellMar>
          <w:top w:w="120" w:type="dxa"/>
          <w:bottom w:w="120" w:type="dxa"/>
          <w:left w:w="160" w:type="dxa"/>
          <w:right w:w="160" w:type="dxa"/>
        </w:tblCellMar>
      </w:tblPr>
      <w:tr>
        <w:trPr>
          <w:tblHeader/>
          <w:cantSplit/>
        </w:trPr>
        <w:tc>
          <w:tcPr>
            <w:tcW w:w="0" w:type="auto"/>
            <w:shd w:val="clear" w:color="auto" w:fill="28B9CD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FFFFFF"/>
                <w:sz w:val="19"/>
              </w:rPr>
              <w:t xml:space="preserve">Nr</w:t>
            </w:r>
          </w:p>
        </w:tc>
        <w:tc>
          <w:tcPr>
            <w:tcW w:w="0" w:type="auto"/>
            <w:shd w:val="clear" w:color="auto" w:fill="28B9CD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FFFFFF"/>
                <w:sz w:val="19"/>
              </w:rPr>
              <w:t xml:space="preserve">Do ustalenia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111314"/>
                <w:sz w:val="19"/>
              </w:rPr>
              <w:t xml:space="preserve">1.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br/>
            </w:r>
          </w:p>
        </w:tc>
      </w:tr>
      <w:tr>
        <w:trPr>
          <w:cantSplit/>
        </w:trPr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111314"/>
                <w:sz w:val="19"/>
              </w:rPr>
              <w:t xml:space="preserve">2.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br/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111314"/>
                <w:sz w:val="19"/>
              </w:rPr>
              <w:t xml:space="preserve">3.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4. 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5. 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t xml:space="preserve"/>
            </w:r>
          </w:p>
        </w:tc>
      </w:tr>
    </w:tbl>
    <w:p>
      <w:pPr>
        <w:spacing w:before="0" w:after="160"/>
      </w:pPr>
    </w:p>
    <w:sectPr>
      <w:headerReference w:type="default" r:id="rIdHeader"/>
      <w:footerReference w:type="default" r:id="rIdFooter"/>
      <w:pgSz w:w="11906" w:h="16838"/>
      <w:pgMar w:top="1440" w:right="1440" w:bottom="1440" w:left="1440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sz="4" w:space="8" w:color="DFE4F2"/>
      </w:pBdr>
      <w:tabs>
        <w:tab w:val="right" w:pos="9026"/>
      </w:tabs>
    </w:pPr>
    <w:r>
      <w:rPr>
        <w:rFonts w:ascii="Segoe UI" w:hAnsi="Segoe UI"/>
        <w:sz w:val="17"/>
        <w:color w:val="64748B"/>
      </w:rPr>
      <w:t>AI Power Recruiter • aipowerrecruiter.com • kontakt@aipowerrecruiter.com</w:t>
    </w:r>
    <w:r>
      <w:tab/>
    </w:r>
    <w:r>
      <w:rPr>
        <w:rFonts w:ascii="Segoe UI" w:hAnsi="Segoe UI"/>
        <w:sz w:val="17"/>
        <w:color w:val="64748B"/>
      </w:rPr>
      <w:t xml:space="preserve">Strona </w:t>
    </w:r>
    <w:fldSimple w:instr="PAGE"/>
    <w:r>
      <w:rPr>
        <w:rFonts w:ascii="Segoe UI" w:hAnsi="Segoe UI"/>
        <w:sz w:val="17"/>
        <w:color w:val="64748B"/>
      </w:rPr>
      <w:t xml:space="preserve"> z </w:t>
    </w:r>
    <w:fldSimple w:instr="NUMPAGES"/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jc w:val="right"/>
    </w:pPr>
    <w:r>
      <w:drawing>
        <wp:inline distT="0" distB="0" distL="0" distR="0">
          <wp:extent cx="1066800" cy="304038"/>
          <wp:docPr id="900" name="Header Logo"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0" name="logo-aipr.png"/>
                  <pic:cNvPicPr/>
                </pic:nvPicPr>
                <pic:blipFill>
                  <a:blip r:embed="rIdHeaderLogo"/>
                  <a:stretch>
                    <a:fillRect/>
                  </a:stretch>
                </pic:blipFill>
                <pic:spPr>
                  <a:xfrm>
                    <a:off x="0" y="0"/>
                    <a:ext cx="1066800" cy="3040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  <w:lvlJc w:val="left"/>
      <w:pPr>
        <w:ind w:left="540" w:hanging="280"/>
      </w:pPr>
      <w:rPr>
        <w:rFonts w:ascii="Segoe UI" w:hAnsi="Segoe UI"/>
        <w:b/>
        <w:color w:val="28B9CD"/>
      </w:rPr>
    </w:lvl>
    <w:lvl w:ilvl="1">
      <w:start w:val="1"/>
      <w:numFmt w:val="bullet"/>
      <w:lvlText w:val="•"/>
      <w:lvlJc w:val="left"/>
      <w:pPr>
        <w:ind w:left="1080" w:hanging="280"/>
      </w:pPr>
      <w:rPr>
        <w:rFonts w:ascii="Segoe UI" w:hAnsi="Segoe UI"/>
        <w:b/>
        <w:color w:val="28B9CD"/>
      </w:rPr>
    </w:lvl>
    <w:lvl w:ilvl="2">
      <w:start w:val="1"/>
      <w:numFmt w:val="bullet"/>
      <w:lvlText w:val="•"/>
      <w:lvlJc w:val="left"/>
      <w:pPr>
        <w:ind w:left="1620" w:hanging="280"/>
      </w:pPr>
      <w:rPr>
        <w:rFonts w:ascii="Segoe UI" w:hAnsi="Segoe UI"/>
        <w:b/>
        <w:color w:val="28B9CD"/>
      </w:rPr>
    </w:lvl>
    <w:lvl w:ilvl="3">
      <w:start w:val="1"/>
      <w:numFmt w:val="bullet"/>
      <w:lvlText w:val="•"/>
      <w:lvlJc w:val="left"/>
      <w:pPr>
        <w:ind w:left="2160" w:hanging="280"/>
      </w:pPr>
      <w:rPr>
        <w:rFonts w:ascii="Segoe UI" w:hAnsi="Segoe UI"/>
        <w:b/>
        <w:color w:val="28B9CD"/>
      </w:rPr>
    </w:lvl>
    <w:lvl w:ilvl="4">
      <w:start w:val="1"/>
      <w:numFmt w:val="bullet"/>
      <w:lvlText w:val="•"/>
      <w:lvlJc w:val="left"/>
      <w:pPr>
        <w:ind w:left="2700" w:hanging="280"/>
      </w:pPr>
      <w:rPr>
        <w:rFonts w:ascii="Segoe UI" w:hAnsi="Segoe UI"/>
        <w:b/>
        <w:color w:val="28B9CD"/>
      </w:rPr>
    </w:lvl>
    <w:lvl w:ilvl="5">
      <w:start w:val="1"/>
      <w:numFmt w:val="bullet"/>
      <w:lvlText w:val="•"/>
      <w:lvlJc w:val="left"/>
      <w:pPr>
        <w:ind w:left="3240" w:hanging="280"/>
      </w:pPr>
      <w:rPr>
        <w:rFonts w:ascii="Segoe UI" w:hAnsi="Segoe UI"/>
        <w:b/>
        <w:color w:val="28B9CD"/>
      </w:rPr>
    </w:lvl>
    <w:lvl w:ilvl="6">
      <w:start w:val="1"/>
      <w:numFmt w:val="bullet"/>
      <w:lvlText w:val="•"/>
      <w:lvlJc w:val="left"/>
      <w:pPr>
        <w:ind w:left="3780" w:hanging="280"/>
      </w:pPr>
      <w:rPr>
        <w:rFonts w:ascii="Segoe UI" w:hAnsi="Segoe UI"/>
        <w:b/>
        <w:color w:val="28B9CD"/>
      </w:rPr>
    </w:lvl>
    <w:lvl w:ilvl="7">
      <w:start w:val="1"/>
      <w:numFmt w:val="bullet"/>
      <w:lvlText w:val="•"/>
      <w:lvlJc w:val="left"/>
      <w:pPr>
        <w:ind w:left="4320" w:hanging="280"/>
      </w:pPr>
      <w:rPr>
        <w:rFonts w:ascii="Segoe UI" w:hAnsi="Segoe UI"/>
        <w:b/>
        <w:color w:val="28B9CD"/>
      </w:rPr>
    </w:lvl>
    <w:lvl w:ilvl="8">
      <w:start w:val="1"/>
      <w:numFmt w:val="bullet"/>
      <w:lvlText w:val="•"/>
      <w:lvlJc w:val="left"/>
      <w:pPr>
        <w:ind w:left="4860" w:hanging="280"/>
      </w:pPr>
      <w:rPr>
        <w:rFonts w:ascii="Segoe UI" w:hAnsi="Segoe UI"/>
        <w:b/>
        <w:color w:val="28B9CD"/>
      </w:rPr>
    </w:lvl>
  </w:abstractNum>
  <w:abstractNum w:abstractNumId="1">
    <w:lvl w:ilvl="0">
      <w:start w:val="1"/>
      <w:numFmt w:val="decimal"/>
      <w:lvlText w:val="%1."/>
      <w:lvlJc w:val="left"/>
      <w:pPr>
        <w:ind w:left="540" w:hanging="280"/>
      </w:pPr>
      <w:rPr>
        <w:rFonts w:ascii="Segoe UI" w:hAnsi="Segoe UI"/>
        <w:b/>
        <w:color w:val="28B9CD"/>
      </w:rPr>
    </w:lvl>
    <w:lvl w:ilvl="1">
      <w:start w:val="1"/>
      <w:numFmt w:val="decimal"/>
      <w:lvlText w:val="%2."/>
      <w:lvlJc w:val="left"/>
      <w:pPr>
        <w:ind w:left="1080" w:hanging="280"/>
      </w:pPr>
      <w:rPr>
        <w:rFonts w:ascii="Segoe UI" w:hAnsi="Segoe UI"/>
        <w:b/>
        <w:color w:val="28B9CD"/>
      </w:rPr>
    </w:lvl>
    <w:lvl w:ilvl="2">
      <w:start w:val="1"/>
      <w:numFmt w:val="decimal"/>
      <w:lvlText w:val="%3."/>
      <w:lvlJc w:val="left"/>
      <w:pPr>
        <w:ind w:left="1620" w:hanging="280"/>
      </w:pPr>
      <w:rPr>
        <w:rFonts w:ascii="Segoe UI" w:hAnsi="Segoe UI"/>
        <w:b/>
        <w:color w:val="28B9CD"/>
      </w:rPr>
    </w:lvl>
    <w:lvl w:ilvl="3">
      <w:start w:val="1"/>
      <w:numFmt w:val="decimal"/>
      <w:lvlText w:val="%4."/>
      <w:lvlJc w:val="left"/>
      <w:pPr>
        <w:ind w:left="2160" w:hanging="280"/>
      </w:pPr>
      <w:rPr>
        <w:rFonts w:ascii="Segoe UI" w:hAnsi="Segoe UI"/>
        <w:b/>
        <w:color w:val="28B9CD"/>
      </w:rPr>
    </w:lvl>
    <w:lvl w:ilvl="4">
      <w:start w:val="1"/>
      <w:numFmt w:val="decimal"/>
      <w:lvlText w:val="%5."/>
      <w:lvlJc w:val="left"/>
      <w:pPr>
        <w:ind w:left="2700" w:hanging="280"/>
      </w:pPr>
      <w:rPr>
        <w:rFonts w:ascii="Segoe UI" w:hAnsi="Segoe UI"/>
        <w:b/>
        <w:color w:val="28B9CD"/>
      </w:rPr>
    </w:lvl>
    <w:lvl w:ilvl="5">
      <w:start w:val="1"/>
      <w:numFmt w:val="decimal"/>
      <w:lvlText w:val="%6."/>
      <w:lvlJc w:val="left"/>
      <w:pPr>
        <w:ind w:left="3240" w:hanging="280"/>
      </w:pPr>
      <w:rPr>
        <w:rFonts w:ascii="Segoe UI" w:hAnsi="Segoe UI"/>
        <w:b/>
        <w:color w:val="28B9CD"/>
      </w:rPr>
    </w:lvl>
    <w:lvl w:ilvl="6">
      <w:start w:val="1"/>
      <w:numFmt w:val="decimal"/>
      <w:lvlText w:val="%7."/>
      <w:lvlJc w:val="left"/>
      <w:pPr>
        <w:ind w:left="3780" w:hanging="280"/>
      </w:pPr>
      <w:rPr>
        <w:rFonts w:ascii="Segoe UI" w:hAnsi="Segoe UI"/>
        <w:b/>
        <w:color w:val="28B9CD"/>
      </w:rPr>
    </w:lvl>
    <w:lvl w:ilvl="7">
      <w:start w:val="1"/>
      <w:numFmt w:val="decimal"/>
      <w:lvlText w:val="%8."/>
      <w:lvlJc w:val="left"/>
      <w:pPr>
        <w:ind w:left="4320" w:hanging="280"/>
      </w:pPr>
      <w:rPr>
        <w:rFonts w:ascii="Segoe UI" w:hAnsi="Segoe UI"/>
        <w:b/>
        <w:color w:val="28B9CD"/>
      </w:rPr>
    </w:lvl>
    <w:lvl w:ilvl="8">
      <w:start w:val="1"/>
      <w:numFmt w:val="decimal"/>
      <w:lvlText w:val="%9."/>
      <w:lvlJc w:val="left"/>
      <w:pPr>
        <w:ind w:left="4860" w:hanging="280"/>
      </w:pPr>
      <w:rPr>
        <w:rFonts w:ascii="Segoe UI" w:hAnsi="Segoe UI"/>
        <w:b/>
        <w:color w:val="28B9CD"/>
      </w:r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sz w:val="22"/>
        <w:rFonts w:ascii="Segoe UI" w:hAnsi="Segoe UI" w:cs="Segoe UI"/>
      </w:rPr>
    </w:rPrDefault>
  </w:docDefaults>
  <w:style w:type="paragraph" w:default="1" w:styleId="Normal">
    <w:name w:val="Normal"/>
    <w:rPr>
      <w:color w:val="111314"/>
    </w:rPr>
  </w:style>
  <w:style w:type="paragraph" w:styleId="Heading1">
    <w:name w:val="heading 1"/>
    <w:basedOn w:val="Normal"/>
    <w:pPr>
      <w:keepNext/>
      <w:spacing w:before="280" w:after="120"/>
      <w:outlineLvl w:val="0"/>
    </w:pPr>
    <w:rPr>
      <w:b/>
      <w:color w:val="000000"/>
      <w:sz w:val="44"/>
    </w:rPr>
  </w:style>
  <w:style w:type="paragraph" w:styleId="Heading2">
    <w:name w:val="heading 2"/>
    <w:basedOn w:val="Normal"/>
    <w:pPr>
      <w:keepNext/>
      <w:spacing w:before="280" w:after="120"/>
      <w:outlineLvl w:val="1"/>
    </w:pPr>
    <w:rPr>
      <w:b/>
      <w:color w:val="000000"/>
      <w:sz w:val="32"/>
    </w:rPr>
  </w:style>
  <w:style w:type="paragraph" w:styleId="Heading3">
    <w:name w:val="heading 3"/>
    <w:basedOn w:val="Normal"/>
    <w:pPr>
      <w:keepNext/>
      <w:spacing w:before="280" w:after="120"/>
      <w:outlineLvl w:val="2"/>
    </w:pPr>
    <w:rPr>
      <w:b/>
      <w:color w:val="000000"/>
      <w:sz w:val="26"/>
    </w:rPr>
  </w:style>
  <w:style w:type="paragraph" w:styleId="Heading4">
    <w:name w:val="heading 4"/>
    <w:basedOn w:val="Normal"/>
    <w:pPr>
      <w:keepNext/>
      <w:spacing w:before="280" w:after="120"/>
      <w:outlineLvl w:val="3"/>
    </w:pPr>
    <w:rPr>
      <w:b/>
      <w:color w:val="000000"/>
      <w:sz w:val="22"/>
    </w:rPr>
  </w:style>
  <w:style w:type="paragraph" w:styleId="Heading5">
    <w:name w:val="heading 5"/>
    <w:basedOn w:val="Normal"/>
    <w:pPr>
      <w:keepNext/>
      <w:spacing w:before="280" w:after="120"/>
      <w:outlineLvl w:val="4"/>
    </w:pPr>
    <w:rPr>
      <w:b/>
      <w:color w:val="000000"/>
      <w:sz w:val="20"/>
    </w:rPr>
  </w:style>
  <w:style w:type="paragraph" w:styleId="Heading6">
    <w:name w:val="heading 6"/>
    <w:basedOn w:val="Normal"/>
    <w:pPr>
      <w:keepNext/>
      <w:spacing w:before="280" w:after="120"/>
      <w:outlineLvl w:val="5"/>
    </w:pPr>
    <w:rPr>
      <w:b/>
      <w:color w:val="000000"/>
      <w:sz w:val="18"/>
    </w:rPr>
  </w:style>
  <w:style w:type="character" w:styleId="Hyperlink">
    <w:name w:val="Hyperlink"/>
    <w:rPr>
      <w:color w:val="28B9CD"/>
      <w:u w:val="single"/>
    </w:rPr>
  </w:style>
  <w:style w:type="paragraph" w:styleId="Quote">
    <w:name w:val="Quote"/>
    <w:basedOn w:val="Normal"/>
    <w:pPr>
      <w:pBdr>
        <w:left w:val="single" w:sz="24" w:space="12" w:color="28B9CD"/>
      </w:pBdr>
      <w:ind w:left="400"/>
      <w:shd w:val="clear" w:color="auto" w:fill="F0FDFA"/>
    </w:pPr>
    <w:rPr>
      <w:i/>
      <w:color w:val="11131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Header" Type="http://schemas.openxmlformats.org/officeDocument/2006/relationships/header" Target="header1.xml"/><Relationship Id="rIdFooter" Type="http://schemas.openxmlformats.org/officeDocument/2006/relationships/footer" Target="footer1.xml"/></Relationships>
</file>

<file path=word/_rels/header1.xml.rels><?xml version="1.0" encoding="UTF-8" standalone="yes"?><Relationships xmlns="http://schemas.openxmlformats.org/package/2006/relationships"><Relationship Id="rIdHeaderLogo" Type="http://schemas.openxmlformats.org/officeDocument/2006/relationships/image" Target="media/logo-aipr.png"/></Relationships>
</file>